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CC" w:rsidRPr="009B4CCC" w:rsidRDefault="009B4CCC" w:rsidP="009B4CCC">
      <w:pPr>
        <w:pStyle w:val="Nadpis1"/>
        <w:ind w:left="2835" w:hanging="2835"/>
        <w:rPr>
          <w:rFonts w:eastAsiaTheme="minorHAnsi"/>
          <w:sz w:val="20"/>
          <w:lang w:eastAsia="en-US" w:bidi="ar-SA"/>
        </w:rPr>
      </w:pPr>
      <w:bookmarkStart w:id="0" w:name="_GoBack"/>
      <w:bookmarkEnd w:id="0"/>
      <w:r w:rsidRPr="009B4CCC">
        <w:t xml:space="preserve">Název projektu: </w:t>
      </w:r>
      <w:r>
        <w:tab/>
      </w:r>
      <w:r w:rsidRPr="001C42AC">
        <w:rPr>
          <w:rFonts w:eastAsiaTheme="minorHAnsi"/>
          <w:lang w:eastAsia="en-US" w:bidi="ar-SA"/>
        </w:rPr>
        <w:t>Podpora všeobecného, exekutivního a praktického vyučování žáků v gastronomii</w:t>
      </w:r>
    </w:p>
    <w:p w:rsidR="003E6CA3" w:rsidRDefault="009B4CCC" w:rsidP="009B4CCC">
      <w:pPr>
        <w:pStyle w:val="Nadpis1"/>
      </w:pPr>
      <w:r>
        <w:t xml:space="preserve">Číslo projektu: </w:t>
      </w:r>
      <w:r>
        <w:tab/>
      </w:r>
      <w:r>
        <w:tab/>
      </w:r>
      <w:r w:rsidRPr="009B4CCC">
        <w:t>CZ.02.3.61/0.0/0.0/16_012/0000606</w:t>
      </w:r>
    </w:p>
    <w:p w:rsidR="009B4CCC" w:rsidRPr="009B4CCC" w:rsidRDefault="009B4CCC" w:rsidP="009B4CCC">
      <w:pPr>
        <w:pStyle w:val="Nadpis1"/>
      </w:pPr>
      <w:r>
        <w:t>Popis projektu</w:t>
      </w:r>
    </w:p>
    <w:p w:rsidR="009B4CCC" w:rsidRPr="009B4CCC" w:rsidRDefault="009B4CCC" w:rsidP="009B4CCC">
      <w:r w:rsidRPr="009B4CCC">
        <w:t>Hlavním cílem projektu je posílení exekutivního a praktického vyučování žáků v oborech SŠ bez maturitní zkoušky</w:t>
      </w:r>
      <w:r>
        <w:t xml:space="preserve"> </w:t>
      </w:r>
      <w:r w:rsidRPr="009B4CCC">
        <w:t xml:space="preserve">skrze zvýšení motivace žáků k vzdělávání a zvýšení praktických dovedností s akcentem na uplatnění žáků v jejich budoucím zaměstnání </w:t>
      </w:r>
      <w:r>
        <w:t>workshopů.</w:t>
      </w:r>
    </w:p>
    <w:p w:rsidR="009B4CCC" w:rsidRDefault="009B4CCC" w:rsidP="009B4CCC">
      <w:pPr>
        <w:rPr>
          <w:sz w:val="22"/>
          <w:szCs w:val="22"/>
        </w:rPr>
      </w:pPr>
      <w:r w:rsidRPr="00D11BEB">
        <w:rPr>
          <w:sz w:val="22"/>
          <w:szCs w:val="22"/>
        </w:rPr>
        <w:t>Projekt se skládá ze dvou na sebe navazujících aktivit – „Cyklu workshopů“ a „</w:t>
      </w:r>
      <w:r>
        <w:rPr>
          <w:sz w:val="22"/>
          <w:szCs w:val="22"/>
        </w:rPr>
        <w:t>Exekutivních</w:t>
      </w:r>
      <w:r w:rsidRPr="00D11BEB">
        <w:rPr>
          <w:sz w:val="22"/>
          <w:szCs w:val="22"/>
        </w:rPr>
        <w:t xml:space="preserve"> a praktických týdnů“.</w:t>
      </w:r>
    </w:p>
    <w:p w:rsidR="009B4CCC" w:rsidRPr="00D11BEB" w:rsidRDefault="009B4CCC" w:rsidP="009B4CCC">
      <w:pPr>
        <w:pStyle w:val="Nadpis2"/>
      </w:pPr>
      <w:r w:rsidRPr="00D11BEB">
        <w:t>Cyklus workshopů</w:t>
      </w:r>
    </w:p>
    <w:p w:rsidR="009B4CCC" w:rsidRPr="009B4CCC" w:rsidRDefault="009B4CCC" w:rsidP="009B4CCC">
      <w:pPr>
        <w:widowControl/>
        <w:suppressAutoHyphens w:val="0"/>
        <w:spacing w:after="0"/>
      </w:pPr>
      <w:r w:rsidRPr="009B4CCC">
        <w:t xml:space="preserve"> „Cyklus workshopů“ představuje formu do 2 vzájemně se prolínajících částí - exekutivních dovedností a praktického vzdělávání. Celkem je realizováno 12 workshopů.</w:t>
      </w:r>
    </w:p>
    <w:p w:rsidR="009B4CCC" w:rsidRPr="009B4CCC" w:rsidRDefault="009B4CCC" w:rsidP="009B4CCC">
      <w:pPr>
        <w:pStyle w:val="Odstavecseseznamem"/>
        <w:widowControl/>
        <w:numPr>
          <w:ilvl w:val="0"/>
          <w:numId w:val="6"/>
        </w:numPr>
        <w:suppressAutoHyphens w:val="0"/>
        <w:spacing w:after="0"/>
        <w:rPr>
          <w:szCs w:val="24"/>
        </w:rPr>
      </w:pPr>
      <w:r w:rsidRPr="009B4CCC">
        <w:rPr>
          <w:szCs w:val="24"/>
        </w:rPr>
        <w:t>Cílem je rozvinou exekutivní dovednosti a rozšířit praktické uplatnění žáků.</w:t>
      </w:r>
    </w:p>
    <w:p w:rsidR="009B4CCC" w:rsidRPr="009B4CCC" w:rsidRDefault="009B4CCC" w:rsidP="009B4CCC">
      <w:pPr>
        <w:pStyle w:val="Odstavecseseznamem"/>
        <w:widowControl/>
        <w:numPr>
          <w:ilvl w:val="0"/>
          <w:numId w:val="6"/>
        </w:numPr>
        <w:suppressAutoHyphens w:val="0"/>
        <w:spacing w:after="0"/>
        <w:rPr>
          <w:szCs w:val="24"/>
        </w:rPr>
      </w:pPr>
      <w:r w:rsidRPr="009B4CCC">
        <w:rPr>
          <w:szCs w:val="24"/>
        </w:rPr>
        <w:t xml:space="preserve">V rámci workshopů je mimo jiné organizován </w:t>
      </w:r>
      <w:r w:rsidRPr="009B4CCC">
        <w:rPr>
          <w:b/>
          <w:szCs w:val="24"/>
        </w:rPr>
        <w:t>celodenní odborný seminář</w:t>
      </w:r>
      <w:r w:rsidRPr="009B4CCC">
        <w:rPr>
          <w:szCs w:val="24"/>
        </w:rPr>
        <w:t>, např. kurz molekulární kuchyně, mořské plody, tradiční česká kuchyně a podobně.</w:t>
      </w:r>
    </w:p>
    <w:p w:rsidR="009B4CCC" w:rsidRPr="009B4CCC" w:rsidRDefault="009B4CCC" w:rsidP="009B4CCC">
      <w:pPr>
        <w:pStyle w:val="Odstavecseseznamem"/>
        <w:widowControl/>
        <w:numPr>
          <w:ilvl w:val="0"/>
          <w:numId w:val="6"/>
        </w:numPr>
        <w:suppressAutoHyphens w:val="0"/>
        <w:spacing w:after="0"/>
        <w:rPr>
          <w:szCs w:val="24"/>
        </w:rPr>
      </w:pPr>
      <w:r w:rsidRPr="009B4CCC">
        <w:rPr>
          <w:szCs w:val="24"/>
        </w:rPr>
        <w:t>Na základě zpracovaných úkolů a aktivity jsou poté žáci vybráni a nejlepší se účastní „Exekutivních a praktických týdnů“. Předpoklad účasti je cca 15 % až 40 % nejlepších žáků na školu.</w:t>
      </w:r>
    </w:p>
    <w:p w:rsidR="009B4CCC" w:rsidRPr="00D11BEB" w:rsidRDefault="009B4CCC" w:rsidP="009B4CCC">
      <w:pPr>
        <w:pStyle w:val="Nadpis2"/>
      </w:pPr>
      <w:r>
        <w:t>Exekutivní</w:t>
      </w:r>
      <w:r w:rsidRPr="00D11BEB">
        <w:t xml:space="preserve"> a praktické týdny </w:t>
      </w:r>
    </w:p>
    <w:p w:rsidR="009B4CCC" w:rsidRPr="009B4CCC" w:rsidRDefault="009B4CCC" w:rsidP="009B4CCC">
      <w:pPr>
        <w:widowControl/>
        <w:suppressAutoHyphens w:val="0"/>
        <w:spacing w:after="0"/>
        <w:rPr>
          <w:szCs w:val="22"/>
        </w:rPr>
      </w:pPr>
      <w:r w:rsidRPr="009B4CCC">
        <w:rPr>
          <w:szCs w:val="22"/>
        </w:rPr>
        <w:t xml:space="preserve">Smyslem „Exekutivních a praktických týdnů“ je vytvořit mimoškolní aktivitu zaměřenou na rozvoj jejich klíčových kompetencí </w:t>
      </w:r>
      <w:r w:rsidRPr="009B4CCC">
        <w:rPr>
          <w:b/>
          <w:szCs w:val="22"/>
        </w:rPr>
        <w:t>a zejména praktických dovedností.</w:t>
      </w:r>
    </w:p>
    <w:p w:rsidR="009B4CCC" w:rsidRPr="009B4CCC" w:rsidRDefault="009B4CCC" w:rsidP="009B4CCC">
      <w:pPr>
        <w:pStyle w:val="Odstavecseseznamem"/>
        <w:widowControl/>
        <w:numPr>
          <w:ilvl w:val="0"/>
          <w:numId w:val="7"/>
        </w:numPr>
        <w:suppressAutoHyphens w:val="0"/>
        <w:spacing w:after="0"/>
        <w:rPr>
          <w:szCs w:val="22"/>
        </w:rPr>
      </w:pPr>
      <w:r w:rsidRPr="009B4CCC">
        <w:rPr>
          <w:szCs w:val="22"/>
        </w:rPr>
        <w:t>Aktivita je rozdělena do dvou na sebe navazujících týdnů (Exekutivní týden a Praktický týden) v podobě 5 denní akce pro 25 studentů spojených ze 4 škol.</w:t>
      </w:r>
    </w:p>
    <w:p w:rsidR="009B4CCC" w:rsidRPr="009B4CCC" w:rsidRDefault="009B4CCC" w:rsidP="009B4CCC">
      <w:pPr>
        <w:pStyle w:val="Odstavecseseznamem"/>
        <w:widowControl/>
        <w:numPr>
          <w:ilvl w:val="0"/>
          <w:numId w:val="7"/>
        </w:numPr>
        <w:suppressAutoHyphens w:val="0"/>
        <w:spacing w:after="0"/>
        <w:rPr>
          <w:szCs w:val="22"/>
        </w:rPr>
      </w:pPr>
      <w:r w:rsidRPr="009B4CCC">
        <w:rPr>
          <w:szCs w:val="22"/>
        </w:rPr>
        <w:t>První týden se koná na konci školního roku (květen/červen), druhý týden pak na začátku následujícího (září/říjen).</w:t>
      </w:r>
    </w:p>
    <w:p w:rsidR="009B4CCC" w:rsidRPr="009B4CCC" w:rsidRDefault="009B4CCC" w:rsidP="009B4CCC">
      <w:pPr>
        <w:pStyle w:val="Odstavecseseznamem"/>
        <w:widowControl/>
        <w:numPr>
          <w:ilvl w:val="1"/>
          <w:numId w:val="6"/>
        </w:numPr>
        <w:suppressAutoHyphens w:val="0"/>
        <w:spacing w:after="0"/>
        <w:contextualSpacing w:val="0"/>
        <w:rPr>
          <w:szCs w:val="22"/>
        </w:rPr>
      </w:pPr>
      <w:r w:rsidRPr="009B4CCC">
        <w:rPr>
          <w:szCs w:val="22"/>
        </w:rPr>
        <w:t>1. Týden „Exekutivní týden“ se zaměřuje na dovednostní rozvoj žáků s ohledem na jejich praktické uplatnění (komunikace, týmová práce, zaměstnání, a podobně).</w:t>
      </w:r>
    </w:p>
    <w:p w:rsidR="009B4CCC" w:rsidRPr="009B4CCC" w:rsidRDefault="009B4CCC" w:rsidP="009B4CCC">
      <w:pPr>
        <w:pStyle w:val="Odstavecseseznamem"/>
        <w:widowControl/>
        <w:numPr>
          <w:ilvl w:val="1"/>
          <w:numId w:val="6"/>
        </w:numPr>
        <w:suppressAutoHyphens w:val="0"/>
        <w:spacing w:after="0"/>
        <w:contextualSpacing w:val="0"/>
        <w:rPr>
          <w:szCs w:val="22"/>
        </w:rPr>
      </w:pPr>
      <w:r w:rsidRPr="009B4CCC">
        <w:rPr>
          <w:szCs w:val="22"/>
        </w:rPr>
        <w:t xml:space="preserve">2. Týden „Praktický týden“ zaměřující se na </w:t>
      </w:r>
      <w:r w:rsidRPr="009B4CCC">
        <w:rPr>
          <w:b/>
          <w:szCs w:val="22"/>
        </w:rPr>
        <w:t>praktické dovednosti žáků v gastronomii</w:t>
      </w:r>
      <w:r w:rsidRPr="009B4CCC">
        <w:rPr>
          <w:szCs w:val="22"/>
        </w:rPr>
        <w:t xml:space="preserve"> (odborné semináře, např. práce s moderními technologiemi, úprava divočiny, HCCP, ryby a mořské plody a podobně). </w:t>
      </w:r>
    </w:p>
    <w:p w:rsidR="009B4CCC" w:rsidRPr="009B4CCC" w:rsidRDefault="009B4CCC" w:rsidP="009B4CCC">
      <w:pPr>
        <w:pStyle w:val="Odstavecseseznamem"/>
        <w:widowControl/>
        <w:numPr>
          <w:ilvl w:val="1"/>
          <w:numId w:val="6"/>
        </w:numPr>
        <w:suppressAutoHyphens w:val="0"/>
        <w:spacing w:after="0"/>
        <w:contextualSpacing w:val="0"/>
        <w:rPr>
          <w:szCs w:val="22"/>
        </w:rPr>
      </w:pPr>
      <w:r w:rsidRPr="009B4CCC">
        <w:rPr>
          <w:szCs w:val="22"/>
        </w:rPr>
        <w:t xml:space="preserve">Žáci získají </w:t>
      </w:r>
      <w:r w:rsidRPr="009B4CCC">
        <w:rPr>
          <w:b/>
          <w:szCs w:val="22"/>
        </w:rPr>
        <w:t xml:space="preserve">certifikáty o absolvování kurzů </w:t>
      </w:r>
      <w:r w:rsidRPr="009B4CCC">
        <w:rPr>
          <w:szCs w:val="22"/>
        </w:rPr>
        <w:t xml:space="preserve">a také získají bezplatné </w:t>
      </w:r>
      <w:r w:rsidRPr="009B4CCC">
        <w:rPr>
          <w:b/>
          <w:szCs w:val="22"/>
        </w:rPr>
        <w:t>roční členství v Asociaci kuchařů a cukrářů</w:t>
      </w:r>
      <w:r w:rsidRPr="009B4CCC">
        <w:rPr>
          <w:szCs w:val="22"/>
        </w:rPr>
        <w:t>.</w:t>
      </w:r>
    </w:p>
    <w:p w:rsidR="009B4CCC" w:rsidRDefault="009B4CCC" w:rsidP="009B4CCC">
      <w:pPr>
        <w:pStyle w:val="Nadpis2"/>
      </w:pPr>
      <w:r>
        <w:t>Projektové partnerství</w:t>
      </w:r>
    </w:p>
    <w:p w:rsidR="009B4CCC" w:rsidRPr="009B4CCC" w:rsidRDefault="009B4CCC" w:rsidP="009B4CCC">
      <w:r>
        <w:t xml:space="preserve">Projekt je realizován společností IREAS, Institut pro strukturální politiku o.p.s. ve spolupráci s Asociací kuchařů a cukrářů České republiky a společností </w:t>
      </w:r>
      <w:proofErr w:type="spellStart"/>
      <w:r>
        <w:t>Jules</w:t>
      </w:r>
      <w:proofErr w:type="spellEnd"/>
      <w:r>
        <w:t xml:space="preserve"> a Jim. Do projektu je dále zapojeno 12 škol.</w:t>
      </w:r>
    </w:p>
    <w:p w:rsidR="009B4CCC" w:rsidRPr="009B4CCC" w:rsidRDefault="009B4CCC" w:rsidP="009B4CCC">
      <w:pPr>
        <w:pStyle w:val="Nadpis3"/>
      </w:pPr>
      <w:r>
        <w:t>Zapojené školy v projektu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SŠ pedagogická, hotelnictví a služeb Litoměřice,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lastRenderedPageBreak/>
        <w:t>Střední škola zemědělství a služeb, Albrechtice,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Střední odborná škola a Střední odborné učiliště, Písek,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t>Integrovaná střední škola, Jesenice,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SŠHSS, Teplice nad Metují,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proofErr w:type="gramStart"/>
      <w:r w:rsidRPr="009B4CCC">
        <w:t>Střední  škola</w:t>
      </w:r>
      <w:proofErr w:type="gramEnd"/>
      <w:r w:rsidRPr="009B4CCC">
        <w:t xml:space="preserve">  hotelová  a  služeb,  Kroměříž,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Střední odborná škola a Střední odborné učiliště, Vlašim,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Střední odborná škola a Střední odborné učiliště, Kladno,</w:t>
      </w:r>
    </w:p>
    <w:p w:rsid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Stř</w:t>
      </w:r>
      <w:r>
        <w:t>ední škola živnostenská Sokolov,</w:t>
      </w:r>
    </w:p>
    <w:p w:rsid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SŠOGD PRAKTIK s.r.o.</w:t>
      </w:r>
      <w:r>
        <w:t>, Olomouc,</w:t>
      </w:r>
    </w:p>
    <w:p w:rsidR="009B4CCC" w:rsidRDefault="009B4CCC" w:rsidP="009B4CCC">
      <w:pPr>
        <w:pStyle w:val="Odstavecseseznamem"/>
        <w:numPr>
          <w:ilvl w:val="0"/>
          <w:numId w:val="8"/>
        </w:numPr>
      </w:pPr>
      <w:r w:rsidRPr="009B4CCC">
        <w:t>Střední odborná škola a Střední odborné učiliště, Horky nad Jizerou</w:t>
      </w:r>
      <w:r>
        <w:t>,</w:t>
      </w:r>
    </w:p>
    <w:p w:rsidR="009B4CCC" w:rsidRPr="009B4CCC" w:rsidRDefault="009B4CCC" w:rsidP="009B4CCC">
      <w:pPr>
        <w:pStyle w:val="Odstavecseseznamem"/>
        <w:numPr>
          <w:ilvl w:val="0"/>
          <w:numId w:val="8"/>
        </w:numPr>
      </w:pPr>
      <w:r w:rsidRPr="009B4CCC">
        <w:t>Obchodní akademie a Hotelová škola Havlíčkův Brod</w:t>
      </w:r>
      <w:r>
        <w:t>.</w:t>
      </w:r>
    </w:p>
    <w:p w:rsidR="00906272" w:rsidRPr="00906272" w:rsidRDefault="00906272" w:rsidP="00906272">
      <w:pPr>
        <w:rPr>
          <w:rFonts w:ascii="Tahoma" w:hAnsi="Tahoma" w:cs="Tahoma"/>
        </w:rPr>
      </w:pPr>
    </w:p>
    <w:p w:rsidR="00906272" w:rsidRDefault="00906272" w:rsidP="00906272">
      <w:pPr>
        <w:rPr>
          <w:rFonts w:ascii="Tahoma" w:hAnsi="Tahoma" w:cs="Tahoma"/>
        </w:rPr>
      </w:pPr>
    </w:p>
    <w:p w:rsidR="009B4CCC" w:rsidRPr="00906272" w:rsidRDefault="009B4CCC" w:rsidP="00906272">
      <w:pPr>
        <w:rPr>
          <w:rFonts w:ascii="Tahoma" w:hAnsi="Tahoma" w:cs="Tahoma"/>
        </w:rPr>
      </w:pPr>
    </w:p>
    <w:p w:rsidR="00906272" w:rsidRPr="00906272" w:rsidRDefault="009B4CCC" w:rsidP="00906272">
      <w:pPr>
        <w:rPr>
          <w:rFonts w:ascii="Tahoma" w:hAnsi="Tahoma" w:cs="Tahoma"/>
        </w:rPr>
      </w:pPr>
      <w:r>
        <w:rPr>
          <w:rFonts w:ascii="Tahoma" w:hAnsi="Tahoma" w:cs="Tahoma"/>
        </w:rPr>
        <w:t>LOGO</w:t>
      </w:r>
    </w:p>
    <w:p w:rsidR="00906272" w:rsidRPr="00906272" w:rsidRDefault="009B4CCC" w:rsidP="00906272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szCs w:val="20"/>
          <w:lang w:eastAsia="cs-CZ" w:bidi="ar-SA"/>
        </w:rPr>
        <w:drawing>
          <wp:inline distT="0" distB="0" distL="0" distR="0" wp14:anchorId="50F4A093" wp14:editId="53C1128D">
            <wp:extent cx="5760720" cy="790314"/>
            <wp:effectExtent l="0" t="0" r="0" b="0"/>
            <wp:docPr id="5" name="Obrázek 5" descr="C:\Users\MalyV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yV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41" b="16418"/>
                    <a:stretch/>
                  </pic:blipFill>
                  <pic:spPr bwMode="auto">
                    <a:xfrm>
                      <a:off x="0" y="0"/>
                      <a:ext cx="5760720" cy="7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272" w:rsidRPr="00906272" w:rsidRDefault="00906272" w:rsidP="00906272">
      <w:pPr>
        <w:rPr>
          <w:rFonts w:ascii="Tahoma" w:hAnsi="Tahoma" w:cs="Tahoma"/>
        </w:rPr>
      </w:pPr>
    </w:p>
    <w:p w:rsidR="00906272" w:rsidRPr="00906272" w:rsidRDefault="00906272" w:rsidP="00906272">
      <w:pPr>
        <w:rPr>
          <w:rFonts w:ascii="Tahoma" w:hAnsi="Tahoma" w:cs="Tahoma"/>
        </w:rPr>
      </w:pPr>
    </w:p>
    <w:p w:rsidR="00906272" w:rsidRPr="00906272" w:rsidRDefault="00906272" w:rsidP="00906272">
      <w:pPr>
        <w:rPr>
          <w:rFonts w:ascii="Tahoma" w:hAnsi="Tahoma" w:cs="Tahoma"/>
        </w:rPr>
      </w:pPr>
    </w:p>
    <w:p w:rsidR="00906272" w:rsidRPr="00906272" w:rsidRDefault="00906272" w:rsidP="00906272">
      <w:pPr>
        <w:rPr>
          <w:rFonts w:ascii="Tahoma" w:hAnsi="Tahoma" w:cs="Tahoma"/>
        </w:rPr>
      </w:pPr>
    </w:p>
    <w:p w:rsidR="00906272" w:rsidRPr="00906272" w:rsidRDefault="00906272" w:rsidP="00906272">
      <w:pPr>
        <w:rPr>
          <w:rFonts w:ascii="Tahoma" w:hAnsi="Tahoma" w:cs="Tahoma"/>
        </w:rPr>
      </w:pPr>
    </w:p>
    <w:p w:rsidR="00906272" w:rsidRDefault="00906272" w:rsidP="00906272">
      <w:pPr>
        <w:rPr>
          <w:rFonts w:ascii="Tahoma" w:hAnsi="Tahoma" w:cs="Tahoma"/>
        </w:rPr>
      </w:pPr>
    </w:p>
    <w:p w:rsidR="00CC7CA2" w:rsidRPr="00906272" w:rsidRDefault="00906272" w:rsidP="00906272">
      <w:pPr>
        <w:tabs>
          <w:tab w:val="left" w:pos="32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CC7CA2" w:rsidRPr="00906272" w:rsidSect="00D253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93" w:right="1417" w:bottom="1417" w:left="1417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11" w:rsidRDefault="00214811" w:rsidP="008A1CD0">
      <w:r>
        <w:separator/>
      </w:r>
    </w:p>
  </w:endnote>
  <w:endnote w:type="continuationSeparator" w:id="0">
    <w:p w:rsidR="00214811" w:rsidRDefault="00214811" w:rsidP="008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D0" w:rsidRDefault="007A372A" w:rsidP="00906272">
    <w:pPr>
      <w:pStyle w:val="Zpat"/>
      <w:spacing w:after="0"/>
      <w:jc w:val="center"/>
    </w:pPr>
    <w:r>
      <w:rPr>
        <w:rFonts w:ascii="Tahoma" w:hAnsi="Tahoma" w:cs="Tahoma"/>
        <w:noProof/>
        <w:sz w:val="20"/>
        <w:szCs w:val="20"/>
        <w:lang w:eastAsia="cs-CZ" w:bidi="ar-SA"/>
      </w:rPr>
      <w:drawing>
        <wp:inline distT="0" distB="0" distL="0" distR="0">
          <wp:extent cx="5762625" cy="790575"/>
          <wp:effectExtent l="0" t="0" r="0" b="9525"/>
          <wp:docPr id="4" name="Obrázek 4" descr="C:\Users\MalyV\AppData\Local\Microsoft\Windows\INetCache\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lyV\AppData\Local\Microsoft\Windows\INetCache\Content.Word\Logolink_OP_VVV_hor_barva_c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41" b="16418"/>
                  <a:stretch/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D0" w:rsidRDefault="008A1CD0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-4519930</wp:posOffset>
          </wp:positionV>
          <wp:extent cx="5205600" cy="1137600"/>
          <wp:effectExtent l="0" t="0" r="0" b="5715"/>
          <wp:wrapSquare wrapText="bothSides"/>
          <wp:docPr id="2" name="Obrázek 1" descr="OPVK_hor_zakladni_logolink_RG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VK_hor_zakladni_logolink_RGB_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600" cy="113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11" w:rsidRDefault="00214811" w:rsidP="008A1CD0">
      <w:r>
        <w:separator/>
      </w:r>
    </w:p>
  </w:footnote>
  <w:footnote w:type="continuationSeparator" w:id="0">
    <w:p w:rsidR="00214811" w:rsidRDefault="00214811" w:rsidP="008A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5D" w:rsidRPr="00CC7CA2" w:rsidRDefault="00D25303" w:rsidP="008A1989">
    <w:pPr>
      <w:spacing w:line="288" w:lineRule="auto"/>
      <w:rPr>
        <w:rFonts w:ascii="Tahoma" w:eastAsiaTheme="minorHAnsi" w:hAnsi="Tahoma" w:cs="Tahoma"/>
        <w:b/>
        <w:color w:val="24408E"/>
        <w:kern w:val="0"/>
        <w:sz w:val="20"/>
        <w:szCs w:val="20"/>
        <w:lang w:eastAsia="en-US" w:bidi="ar-SA"/>
      </w:rPr>
    </w:pPr>
    <w:r w:rsidRPr="001C42AC">
      <w:rPr>
        <w:rFonts w:ascii="Tahoma" w:hAnsi="Tahoma" w:cs="Tahoma"/>
        <w:b/>
        <w:noProof/>
        <w:color w:val="01088D"/>
        <w:sz w:val="18"/>
        <w:szCs w:val="20"/>
        <w:lang w:eastAsia="cs-CZ" w:bidi="ar-SA"/>
      </w:rPr>
      <w:drawing>
        <wp:anchor distT="0" distB="0" distL="114300" distR="114300" simplePos="0" relativeHeight="251662336" behindDoc="1" locked="0" layoutInCell="1" allowOverlap="1" wp14:anchorId="4F3364F4" wp14:editId="01B4CAEC">
          <wp:simplePos x="0" y="0"/>
          <wp:positionH relativeFrom="column">
            <wp:posOffset>4986655</wp:posOffset>
          </wp:positionH>
          <wp:positionV relativeFrom="paragraph">
            <wp:posOffset>-99060</wp:posOffset>
          </wp:positionV>
          <wp:extent cx="790575" cy="590550"/>
          <wp:effectExtent l="19050" t="0" r="9525" b="0"/>
          <wp:wrapNone/>
          <wp:docPr id="10" name="obrázek 6" descr="irea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reas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0550"/>
                  </a:xfrm>
                  <a:prstGeom prst="rect">
                    <a:avLst/>
                  </a:prstGeom>
                  <a:solidFill>
                    <a:srgbClr val="72C246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42AC" w:rsidRPr="001C42AC">
      <w:rPr>
        <w:rFonts w:ascii="Tahoma" w:eastAsiaTheme="minorHAnsi" w:hAnsi="Tahoma" w:cs="Tahoma"/>
        <w:b/>
        <w:color w:val="24408E"/>
        <w:kern w:val="0"/>
        <w:sz w:val="18"/>
        <w:szCs w:val="20"/>
        <w:lang w:eastAsia="en-US" w:bidi="ar-SA"/>
      </w:rPr>
      <w:t>Podpora všeobecného, exekutivního a praktického vyučování žáků v gastronomii</w:t>
    </w:r>
  </w:p>
  <w:p w:rsidR="0003595D" w:rsidRPr="001C42AC" w:rsidRDefault="001C42AC" w:rsidP="001C42AC">
    <w:pPr>
      <w:spacing w:line="276" w:lineRule="auto"/>
      <w:jc w:val="left"/>
      <w:rPr>
        <w:rFonts w:ascii="Tahoma" w:hAnsi="Tahoma" w:cs="Tahoma"/>
        <w:color w:val="01088D"/>
        <w:sz w:val="18"/>
        <w:szCs w:val="20"/>
      </w:rPr>
    </w:pPr>
    <w:r w:rsidRPr="001C42AC">
      <w:rPr>
        <w:rFonts w:ascii="Tahoma" w:hAnsi="Tahoma" w:cs="Tahoma"/>
        <w:color w:val="01088D"/>
        <w:sz w:val="18"/>
        <w:szCs w:val="20"/>
      </w:rPr>
      <w:t>CZ.02.3.61/0.0/0.0/16_012/0000606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D0" w:rsidRDefault="008A1CD0">
    <w:pPr>
      <w:pStyle w:val="Zhlav"/>
    </w:pPr>
    <w:r w:rsidRPr="00D43C18">
      <w:rPr>
        <w:b/>
        <w:noProof/>
        <w:color w:val="4F81BD" w:themeColor="accent1"/>
        <w:sz w:val="32"/>
        <w:szCs w:val="32"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504316</wp:posOffset>
          </wp:positionH>
          <wp:positionV relativeFrom="paragraph">
            <wp:posOffset>3979545</wp:posOffset>
          </wp:positionV>
          <wp:extent cx="1242000" cy="896400"/>
          <wp:effectExtent l="0" t="0" r="0" b="0"/>
          <wp:wrapNone/>
          <wp:docPr id="1" name="obrázek 6" descr="irea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reas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896400"/>
                  </a:xfrm>
                  <a:prstGeom prst="rect">
                    <a:avLst/>
                  </a:prstGeom>
                  <a:solidFill>
                    <a:srgbClr val="72C246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C944DD6"/>
    <w:multiLevelType w:val="multilevel"/>
    <w:tmpl w:val="F8EAB6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5D95DA5"/>
    <w:multiLevelType w:val="hybridMultilevel"/>
    <w:tmpl w:val="BD6C7D62"/>
    <w:lvl w:ilvl="0" w:tplc="464E7A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B1EA9"/>
    <w:multiLevelType w:val="hybridMultilevel"/>
    <w:tmpl w:val="3C0AC25A"/>
    <w:lvl w:ilvl="0" w:tplc="464E7A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032BA"/>
    <w:multiLevelType w:val="hybridMultilevel"/>
    <w:tmpl w:val="69A65E20"/>
    <w:lvl w:ilvl="0" w:tplc="464E7A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A3"/>
    <w:rsid w:val="0003595D"/>
    <w:rsid w:val="00082496"/>
    <w:rsid w:val="00133AD8"/>
    <w:rsid w:val="0014290C"/>
    <w:rsid w:val="001C42AC"/>
    <w:rsid w:val="00205BF1"/>
    <w:rsid w:val="00214811"/>
    <w:rsid w:val="00217337"/>
    <w:rsid w:val="0032693A"/>
    <w:rsid w:val="003E6CA3"/>
    <w:rsid w:val="00440A44"/>
    <w:rsid w:val="00454360"/>
    <w:rsid w:val="006A7F7E"/>
    <w:rsid w:val="007248EE"/>
    <w:rsid w:val="007441F8"/>
    <w:rsid w:val="007A372A"/>
    <w:rsid w:val="007C0602"/>
    <w:rsid w:val="00807F49"/>
    <w:rsid w:val="00841DDA"/>
    <w:rsid w:val="00843D26"/>
    <w:rsid w:val="008A1989"/>
    <w:rsid w:val="008A1CD0"/>
    <w:rsid w:val="00906272"/>
    <w:rsid w:val="009B4CCC"/>
    <w:rsid w:val="00A03EF5"/>
    <w:rsid w:val="00B001F0"/>
    <w:rsid w:val="00CC7CA2"/>
    <w:rsid w:val="00D25303"/>
    <w:rsid w:val="00DA4374"/>
    <w:rsid w:val="00DE0904"/>
    <w:rsid w:val="00EB7D14"/>
    <w:rsid w:val="00EF5934"/>
    <w:rsid w:val="00F820F0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4179E1F-8F4F-4CC2-91A1-194C13F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904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248EE"/>
    <w:pPr>
      <w:keepNext/>
      <w:keepLines/>
      <w:spacing w:before="240" w:after="240"/>
      <w:outlineLvl w:val="0"/>
    </w:pPr>
    <w:rPr>
      <w:rFonts w:asciiTheme="majorHAnsi" w:eastAsiaTheme="majorEastAsia" w:hAnsiTheme="majorHAnsi"/>
      <w:b/>
      <w:bCs/>
      <w:color w:val="01088D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8EE"/>
    <w:pPr>
      <w:keepNext/>
      <w:keepLines/>
      <w:spacing w:before="360"/>
      <w:outlineLvl w:val="1"/>
    </w:pPr>
    <w:rPr>
      <w:rFonts w:asciiTheme="majorHAnsi" w:eastAsiaTheme="majorEastAsia" w:hAnsiTheme="majorHAnsi"/>
      <w:b/>
      <w:bCs/>
      <w:color w:val="01088D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48E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01088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E6CA3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248EE"/>
    <w:rPr>
      <w:rFonts w:asciiTheme="majorHAnsi" w:eastAsiaTheme="majorEastAsia" w:hAnsiTheme="majorHAnsi" w:cs="Mangal"/>
      <w:b/>
      <w:bCs/>
      <w:color w:val="01088D"/>
      <w:kern w:val="2"/>
      <w:sz w:val="28"/>
      <w:szCs w:val="25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7248EE"/>
    <w:rPr>
      <w:rFonts w:asciiTheme="majorHAnsi" w:eastAsiaTheme="majorEastAsia" w:hAnsiTheme="majorHAnsi" w:cs="Mangal"/>
      <w:b/>
      <w:bCs/>
      <w:color w:val="01088D"/>
      <w:kern w:val="2"/>
      <w:sz w:val="26"/>
      <w:szCs w:val="23"/>
      <w:lang w:eastAsia="hi-IN" w:bidi="hi-IN"/>
    </w:rPr>
  </w:style>
  <w:style w:type="paragraph" w:styleId="Nzev">
    <w:name w:val="Title"/>
    <w:aliases w:val="Nadpis - oddělující"/>
    <w:basedOn w:val="Normln"/>
    <w:next w:val="Normln"/>
    <w:link w:val="NzevChar"/>
    <w:uiPriority w:val="10"/>
    <w:qFormat/>
    <w:rsid w:val="003E6C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b/>
      <w:i/>
      <w:color w:val="365F91" w:themeColor="accent1" w:themeShade="BF"/>
      <w:spacing w:val="5"/>
      <w:kern w:val="28"/>
      <w:szCs w:val="47"/>
    </w:rPr>
  </w:style>
  <w:style w:type="character" w:customStyle="1" w:styleId="NzevChar">
    <w:name w:val="Název Char"/>
    <w:aliases w:val="Nadpis - oddělující Char"/>
    <w:basedOn w:val="Standardnpsmoodstavce"/>
    <w:link w:val="Nzev"/>
    <w:uiPriority w:val="10"/>
    <w:rsid w:val="003E6CA3"/>
    <w:rPr>
      <w:rFonts w:asciiTheme="majorHAnsi" w:eastAsiaTheme="majorEastAsia" w:hAnsiTheme="majorHAnsi" w:cs="Mangal"/>
      <w:b/>
      <w:i/>
      <w:color w:val="365F91" w:themeColor="accent1" w:themeShade="BF"/>
      <w:spacing w:val="5"/>
      <w:kern w:val="28"/>
      <w:sz w:val="24"/>
      <w:szCs w:val="47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248EE"/>
    <w:rPr>
      <w:rFonts w:asciiTheme="majorHAnsi" w:eastAsiaTheme="majorEastAsia" w:hAnsiTheme="majorHAnsi" w:cs="Mangal"/>
      <w:b/>
      <w:bCs/>
      <w:color w:val="01088D"/>
      <w:kern w:val="2"/>
      <w:sz w:val="24"/>
      <w:szCs w:val="21"/>
      <w:lang w:eastAsia="hi-IN" w:bidi="hi-IN"/>
    </w:rPr>
  </w:style>
  <w:style w:type="paragraph" w:styleId="Bezmezer">
    <w:name w:val="No Spacing"/>
    <w:link w:val="BezmezerChar"/>
    <w:uiPriority w:val="1"/>
    <w:qFormat/>
    <w:rsid w:val="003E6CA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E6CA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CA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CA3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8A1CD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A1CD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A1CD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A1CD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rsid w:val="00440A44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Standardnpsmoodstavce"/>
    <w:rsid w:val="00FE3318"/>
  </w:style>
  <w:style w:type="character" w:styleId="Siln">
    <w:name w:val="Strong"/>
    <w:basedOn w:val="Standardnpsmoodstavce"/>
    <w:uiPriority w:val="99"/>
    <w:qFormat/>
    <w:rsid w:val="008A1989"/>
    <w:rPr>
      <w:b/>
      <w:bCs/>
      <w:w w:val="100"/>
    </w:rPr>
  </w:style>
  <w:style w:type="paragraph" w:customStyle="1" w:styleId="Default">
    <w:name w:val="Default"/>
    <w:rsid w:val="00906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2C3F-791A-4B5C-9267-67760D0B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IREAS, Institut pro strukturální politiku, o. p. s.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Marie Mrazova</cp:lastModifiedBy>
  <cp:revision>2</cp:revision>
  <dcterms:created xsi:type="dcterms:W3CDTF">2016-10-19T05:24:00Z</dcterms:created>
  <dcterms:modified xsi:type="dcterms:W3CDTF">2016-10-19T05:24:00Z</dcterms:modified>
</cp:coreProperties>
</file>